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44A9" w14:textId="77777777" w:rsidR="0027163D" w:rsidRDefault="0027163D" w:rsidP="00EC10EA">
      <w:pPr>
        <w:jc w:val="center"/>
        <w:rPr>
          <w:b/>
          <w:sz w:val="28"/>
          <w:szCs w:val="24"/>
          <w:u w:val="single"/>
        </w:rPr>
      </w:pPr>
      <w:r w:rsidRPr="005702C2">
        <w:rPr>
          <w:rFonts w:ascii="Source Sans Pro" w:eastAsia="Calibri" w:hAnsi="Source Sans Pro" w:cs="Times New Roman"/>
          <w:noProof/>
          <w:color w:val="262626"/>
          <w:sz w:val="28"/>
          <w:szCs w:val="28"/>
          <w:lang w:eastAsia="en-GB"/>
        </w:rPr>
        <w:drawing>
          <wp:anchor distT="0" distB="0" distL="114300" distR="114300" simplePos="0" relativeHeight="251659264" behindDoc="1" locked="0" layoutInCell="1" allowOverlap="1" wp14:anchorId="112D1529" wp14:editId="099183DD">
            <wp:simplePos x="0" y="0"/>
            <wp:positionH relativeFrom="margin">
              <wp:posOffset>1162050</wp:posOffset>
            </wp:positionH>
            <wp:positionV relativeFrom="paragraph">
              <wp:posOffset>0</wp:posOffset>
            </wp:positionV>
            <wp:extent cx="3390900" cy="1152525"/>
            <wp:effectExtent l="0" t="0" r="0" b="9525"/>
            <wp:wrapTight wrapText="bothSides">
              <wp:wrapPolygon edited="0">
                <wp:start x="8858" y="0"/>
                <wp:lineTo x="7645" y="357"/>
                <wp:lineTo x="4490" y="4641"/>
                <wp:lineTo x="4369" y="6069"/>
                <wp:lineTo x="1335" y="11425"/>
                <wp:lineTo x="0" y="11782"/>
                <wp:lineTo x="0" y="14995"/>
                <wp:lineTo x="243" y="17851"/>
                <wp:lineTo x="5946" y="21421"/>
                <wp:lineTo x="7281" y="21421"/>
                <wp:lineTo x="14198" y="21421"/>
                <wp:lineTo x="15290" y="21421"/>
                <wp:lineTo x="21236" y="17851"/>
                <wp:lineTo x="21479" y="14638"/>
                <wp:lineTo x="21479" y="11425"/>
                <wp:lineTo x="20144" y="11425"/>
                <wp:lineTo x="17231" y="6069"/>
                <wp:lineTo x="17110" y="4641"/>
                <wp:lineTo x="13712" y="357"/>
                <wp:lineTo x="12620" y="0"/>
                <wp:lineTo x="88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C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0900" cy="1152525"/>
                    </a:xfrm>
                    <a:prstGeom prst="rect">
                      <a:avLst/>
                    </a:prstGeom>
                  </pic:spPr>
                </pic:pic>
              </a:graphicData>
            </a:graphic>
            <wp14:sizeRelH relativeFrom="page">
              <wp14:pctWidth>0</wp14:pctWidth>
            </wp14:sizeRelH>
            <wp14:sizeRelV relativeFrom="page">
              <wp14:pctHeight>0</wp14:pctHeight>
            </wp14:sizeRelV>
          </wp:anchor>
        </w:drawing>
      </w:r>
    </w:p>
    <w:p w14:paraId="6469EA5F" w14:textId="77777777" w:rsidR="0027163D" w:rsidRDefault="0027163D" w:rsidP="00EC10EA">
      <w:pPr>
        <w:jc w:val="center"/>
        <w:rPr>
          <w:b/>
          <w:sz w:val="28"/>
          <w:szCs w:val="24"/>
          <w:u w:val="single"/>
        </w:rPr>
      </w:pPr>
    </w:p>
    <w:p w14:paraId="4E513CB1" w14:textId="77777777" w:rsidR="0027163D" w:rsidRDefault="0027163D" w:rsidP="00EC10EA">
      <w:pPr>
        <w:jc w:val="center"/>
        <w:rPr>
          <w:b/>
          <w:sz w:val="28"/>
          <w:szCs w:val="24"/>
          <w:u w:val="single"/>
        </w:rPr>
      </w:pPr>
    </w:p>
    <w:p w14:paraId="1D9227A6" w14:textId="77777777" w:rsidR="0027163D" w:rsidRDefault="0027163D" w:rsidP="00EC10EA">
      <w:pPr>
        <w:jc w:val="center"/>
        <w:rPr>
          <w:b/>
          <w:sz w:val="28"/>
          <w:szCs w:val="24"/>
          <w:u w:val="single"/>
        </w:rPr>
      </w:pPr>
    </w:p>
    <w:p w14:paraId="0B07BA83" w14:textId="0DFB9EFA" w:rsidR="00EC10EA" w:rsidRDefault="00EC10EA" w:rsidP="00EC10EA">
      <w:pPr>
        <w:jc w:val="center"/>
        <w:rPr>
          <w:b/>
          <w:sz w:val="24"/>
          <w:szCs w:val="24"/>
          <w:u w:val="single"/>
        </w:rPr>
      </w:pPr>
      <w:r w:rsidRPr="00637321">
        <w:rPr>
          <w:b/>
          <w:sz w:val="28"/>
          <w:szCs w:val="24"/>
          <w:u w:val="single"/>
        </w:rPr>
        <w:t>Duty of</w:t>
      </w:r>
      <w:r w:rsidR="00637321">
        <w:rPr>
          <w:b/>
          <w:sz w:val="28"/>
          <w:szCs w:val="24"/>
          <w:u w:val="single"/>
        </w:rPr>
        <w:t xml:space="preserve"> Candour R</w:t>
      </w:r>
      <w:r w:rsidRPr="00637321">
        <w:rPr>
          <w:b/>
          <w:sz w:val="28"/>
          <w:szCs w:val="24"/>
          <w:u w:val="single"/>
        </w:rPr>
        <w:t>eport 20</w:t>
      </w:r>
      <w:r w:rsidR="005D1AD6">
        <w:rPr>
          <w:b/>
          <w:sz w:val="28"/>
          <w:szCs w:val="24"/>
          <w:u w:val="single"/>
        </w:rPr>
        <w:t>20</w:t>
      </w:r>
      <w:r w:rsidR="001A63B6">
        <w:rPr>
          <w:b/>
          <w:sz w:val="28"/>
          <w:szCs w:val="24"/>
          <w:u w:val="single"/>
        </w:rPr>
        <w:t xml:space="preserve"> – 2</w:t>
      </w:r>
      <w:r w:rsidR="005D1AD6">
        <w:rPr>
          <w:b/>
          <w:sz w:val="28"/>
          <w:szCs w:val="24"/>
          <w:u w:val="single"/>
        </w:rPr>
        <w:t>1</w:t>
      </w:r>
    </w:p>
    <w:p w14:paraId="428AF7B3" w14:textId="77777777" w:rsidR="00EC10EA" w:rsidRPr="00637321" w:rsidRDefault="00EC10EA" w:rsidP="00EC10EA">
      <w:pPr>
        <w:rPr>
          <w:rFonts w:cstheme="minorHAnsi"/>
          <w:sz w:val="24"/>
          <w:szCs w:val="24"/>
        </w:rPr>
      </w:pPr>
      <w:r w:rsidRPr="00637321">
        <w:rPr>
          <w:rFonts w:cstheme="minorHAnsi"/>
          <w:sz w:val="24"/>
          <w:szCs w:val="24"/>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14:paraId="684D6C23" w14:textId="339608FB" w:rsidR="00EC10EA" w:rsidRPr="00637321" w:rsidRDefault="00EC10EA" w:rsidP="00EC10EA">
      <w:pPr>
        <w:rPr>
          <w:rFonts w:cstheme="minorHAnsi"/>
          <w:sz w:val="24"/>
          <w:szCs w:val="24"/>
        </w:rPr>
      </w:pPr>
      <w:r w:rsidRPr="00637321">
        <w:rPr>
          <w:rFonts w:cstheme="minorHAnsi"/>
          <w:sz w:val="24"/>
          <w:szCs w:val="24"/>
        </w:rPr>
        <w:t>Maryhill Mobile Children’s Services</w:t>
      </w:r>
      <w:r w:rsidR="002967F5" w:rsidRPr="00637321">
        <w:rPr>
          <w:rFonts w:cstheme="minorHAnsi"/>
          <w:sz w:val="24"/>
          <w:szCs w:val="24"/>
        </w:rPr>
        <w:t xml:space="preserve"> will</w:t>
      </w:r>
      <w:r w:rsidRPr="00637321">
        <w:rPr>
          <w:rFonts w:cstheme="minorHAnsi"/>
          <w:sz w:val="24"/>
          <w:szCs w:val="24"/>
        </w:rPr>
        <w:t xml:space="preserve"> provide an annual report about</w:t>
      </w:r>
      <w:r w:rsidR="002967F5" w:rsidRPr="00637321">
        <w:rPr>
          <w:rFonts w:cstheme="minorHAnsi"/>
          <w:sz w:val="24"/>
          <w:szCs w:val="24"/>
        </w:rPr>
        <w:t xml:space="preserve"> how </w:t>
      </w:r>
      <w:r w:rsidRPr="00637321">
        <w:rPr>
          <w:rFonts w:cstheme="minorHAnsi"/>
          <w:sz w:val="24"/>
          <w:szCs w:val="24"/>
        </w:rPr>
        <w:t xml:space="preserve">Duty of Candour </w:t>
      </w:r>
      <w:r w:rsidR="002967F5" w:rsidRPr="00637321">
        <w:rPr>
          <w:rFonts w:cstheme="minorHAnsi"/>
          <w:sz w:val="24"/>
          <w:szCs w:val="24"/>
        </w:rPr>
        <w:t xml:space="preserve">has been applied </w:t>
      </w:r>
      <w:r w:rsidRPr="00637321">
        <w:rPr>
          <w:rFonts w:cstheme="minorHAnsi"/>
          <w:sz w:val="24"/>
          <w:szCs w:val="24"/>
        </w:rPr>
        <w:t>in our organisation. This short report describes how our services operated the Duty of Candour during the time between 1 April 20</w:t>
      </w:r>
      <w:r w:rsidR="005D1AD6">
        <w:rPr>
          <w:rFonts w:cstheme="minorHAnsi"/>
          <w:sz w:val="24"/>
          <w:szCs w:val="24"/>
        </w:rPr>
        <w:t>20</w:t>
      </w:r>
      <w:r w:rsidRPr="00637321">
        <w:rPr>
          <w:rFonts w:cstheme="minorHAnsi"/>
          <w:sz w:val="24"/>
          <w:szCs w:val="24"/>
        </w:rPr>
        <w:t xml:space="preserve"> and 31 March 20</w:t>
      </w:r>
      <w:r w:rsidR="005D1AD6">
        <w:rPr>
          <w:rFonts w:cstheme="minorHAnsi"/>
          <w:sz w:val="24"/>
          <w:szCs w:val="24"/>
        </w:rPr>
        <w:t>21</w:t>
      </w:r>
      <w:r w:rsidRPr="00637321">
        <w:rPr>
          <w:rFonts w:cstheme="minorHAnsi"/>
          <w:sz w:val="24"/>
          <w:szCs w:val="24"/>
        </w:rPr>
        <w:t xml:space="preserve">. We hope you find this report useful.  </w:t>
      </w:r>
    </w:p>
    <w:p w14:paraId="7D3A59F2" w14:textId="77777777" w:rsidR="00EC10EA" w:rsidRPr="00EC10EA" w:rsidRDefault="00EC10EA" w:rsidP="00EC10EA">
      <w:pPr>
        <w:spacing w:before="300" w:after="150" w:line="240" w:lineRule="auto"/>
        <w:outlineLvl w:val="1"/>
        <w:rPr>
          <w:rFonts w:eastAsia="Times New Roman" w:cstheme="minorHAnsi"/>
          <w:b/>
          <w:color w:val="303030"/>
          <w:spacing w:val="5"/>
          <w:sz w:val="24"/>
          <w:szCs w:val="24"/>
          <w:lang w:eastAsia="en-GB"/>
        </w:rPr>
      </w:pPr>
      <w:r w:rsidRPr="00EC10EA">
        <w:rPr>
          <w:rFonts w:eastAsia="Times New Roman" w:cstheme="minorHAnsi"/>
          <w:b/>
          <w:color w:val="303030"/>
          <w:spacing w:val="5"/>
          <w:sz w:val="24"/>
          <w:szCs w:val="24"/>
          <w:lang w:eastAsia="en-GB"/>
        </w:rPr>
        <w:t>How many incidents happened to w</w:t>
      </w:r>
      <w:r w:rsidRPr="00637321">
        <w:rPr>
          <w:rFonts w:eastAsia="Times New Roman" w:cstheme="minorHAnsi"/>
          <w:b/>
          <w:color w:val="303030"/>
          <w:spacing w:val="5"/>
          <w:sz w:val="24"/>
          <w:szCs w:val="24"/>
          <w:lang w:eastAsia="en-GB"/>
        </w:rPr>
        <w:t>hich the duty of candour applied</w:t>
      </w:r>
      <w:r w:rsidRPr="00EC10EA">
        <w:rPr>
          <w:rFonts w:eastAsia="Times New Roman" w:cstheme="minorHAnsi"/>
          <w:b/>
          <w:color w:val="303030"/>
          <w:spacing w:val="5"/>
          <w:sz w:val="24"/>
          <w:szCs w:val="24"/>
          <w:lang w:eastAsia="en-GB"/>
        </w:rPr>
        <w:t>?</w:t>
      </w:r>
    </w:p>
    <w:p w14:paraId="429993F2" w14:textId="6BC049D1" w:rsidR="002967F5" w:rsidRPr="00637321" w:rsidRDefault="002967F5" w:rsidP="00EC10EA">
      <w:pPr>
        <w:spacing w:after="150" w:line="420" w:lineRule="atLeast"/>
        <w:rPr>
          <w:rFonts w:eastAsia="Times New Roman" w:cstheme="minorHAnsi"/>
          <w:color w:val="505050"/>
          <w:spacing w:val="5"/>
          <w:sz w:val="24"/>
          <w:szCs w:val="21"/>
          <w:lang w:eastAsia="en-GB"/>
        </w:rPr>
      </w:pPr>
      <w:r w:rsidRPr="00637321">
        <w:rPr>
          <w:rFonts w:eastAsia="Times New Roman" w:cstheme="minorHAnsi"/>
          <w:color w:val="505050"/>
          <w:spacing w:val="5"/>
          <w:sz w:val="24"/>
          <w:szCs w:val="21"/>
          <w:lang w:eastAsia="en-GB"/>
        </w:rPr>
        <w:t xml:space="preserve">In the period of </w:t>
      </w:r>
      <w:r w:rsidRPr="00637321">
        <w:rPr>
          <w:rFonts w:cstheme="minorHAnsi"/>
          <w:sz w:val="24"/>
          <w:szCs w:val="24"/>
        </w:rPr>
        <w:t>1 April 20</w:t>
      </w:r>
      <w:r w:rsidR="005D1AD6">
        <w:rPr>
          <w:rFonts w:cstheme="minorHAnsi"/>
          <w:sz w:val="24"/>
          <w:szCs w:val="24"/>
        </w:rPr>
        <w:t>20</w:t>
      </w:r>
      <w:r w:rsidRPr="00637321">
        <w:rPr>
          <w:rFonts w:cstheme="minorHAnsi"/>
          <w:sz w:val="24"/>
          <w:szCs w:val="24"/>
        </w:rPr>
        <w:t xml:space="preserve"> and 31 March 20</w:t>
      </w:r>
      <w:r w:rsidR="005D1AD6">
        <w:rPr>
          <w:rFonts w:cstheme="minorHAnsi"/>
          <w:sz w:val="24"/>
          <w:szCs w:val="24"/>
        </w:rPr>
        <w:t>21</w:t>
      </w:r>
      <w:r w:rsidRPr="00637321">
        <w:rPr>
          <w:rFonts w:eastAsia="Times New Roman" w:cstheme="minorHAnsi"/>
          <w:color w:val="505050"/>
          <w:spacing w:val="5"/>
          <w:sz w:val="24"/>
          <w:szCs w:val="21"/>
          <w:lang w:eastAsia="en-GB"/>
        </w:rPr>
        <w:t>, there were</w:t>
      </w:r>
      <w:r w:rsidR="00EC10EA" w:rsidRPr="00EC10EA">
        <w:rPr>
          <w:rFonts w:eastAsia="Times New Roman" w:cstheme="minorHAnsi"/>
          <w:color w:val="505050"/>
          <w:spacing w:val="5"/>
          <w:sz w:val="24"/>
          <w:szCs w:val="21"/>
          <w:lang w:eastAsia="en-GB"/>
        </w:rPr>
        <w:t xml:space="preserve"> no incident to which the duty of candour applied. </w:t>
      </w:r>
    </w:p>
    <w:tbl>
      <w:tblPr>
        <w:tblStyle w:val="TableGrid"/>
        <w:tblW w:w="0" w:type="auto"/>
        <w:tblLook w:val="04A0" w:firstRow="1" w:lastRow="0" w:firstColumn="1" w:lastColumn="0" w:noHBand="0" w:noVBand="1"/>
      </w:tblPr>
      <w:tblGrid>
        <w:gridCol w:w="6516"/>
        <w:gridCol w:w="2494"/>
      </w:tblGrid>
      <w:tr w:rsidR="002967F5" w:rsidRPr="00637321" w14:paraId="3781DEFA" w14:textId="77777777" w:rsidTr="00637321">
        <w:tc>
          <w:tcPr>
            <w:tcW w:w="6516" w:type="dxa"/>
          </w:tcPr>
          <w:p w14:paraId="18CD8EA5" w14:textId="77777777" w:rsidR="002967F5" w:rsidRPr="00637321" w:rsidRDefault="002967F5" w:rsidP="00EC10EA">
            <w:pPr>
              <w:spacing w:after="150" w:line="420" w:lineRule="atLeast"/>
              <w:rPr>
                <w:rFonts w:eastAsia="Times New Roman" w:cstheme="minorHAnsi"/>
                <w:b/>
                <w:color w:val="505050"/>
                <w:spacing w:val="5"/>
                <w:sz w:val="24"/>
                <w:szCs w:val="21"/>
                <w:lang w:eastAsia="en-GB"/>
              </w:rPr>
            </w:pPr>
            <w:r w:rsidRPr="00637321">
              <w:rPr>
                <w:rFonts w:eastAsia="Times New Roman" w:cstheme="minorHAnsi"/>
                <w:b/>
                <w:color w:val="505050"/>
                <w:spacing w:val="5"/>
                <w:sz w:val="24"/>
                <w:szCs w:val="21"/>
                <w:lang w:eastAsia="en-GB"/>
              </w:rPr>
              <w:t xml:space="preserve">Type of unexpected or unintended incident: </w:t>
            </w:r>
          </w:p>
        </w:tc>
        <w:tc>
          <w:tcPr>
            <w:tcW w:w="2494" w:type="dxa"/>
          </w:tcPr>
          <w:p w14:paraId="20E620B7" w14:textId="77777777" w:rsidR="002967F5" w:rsidRPr="00637321" w:rsidRDefault="002967F5" w:rsidP="00EC10EA">
            <w:pPr>
              <w:spacing w:after="150" w:line="420" w:lineRule="atLeast"/>
              <w:rPr>
                <w:rFonts w:eastAsia="Times New Roman" w:cstheme="minorHAnsi"/>
                <w:b/>
                <w:color w:val="505050"/>
                <w:spacing w:val="5"/>
                <w:sz w:val="24"/>
                <w:szCs w:val="21"/>
                <w:lang w:eastAsia="en-GB"/>
              </w:rPr>
            </w:pPr>
            <w:r w:rsidRPr="00637321">
              <w:rPr>
                <w:rFonts w:eastAsia="Times New Roman" w:cstheme="minorHAnsi"/>
                <w:b/>
                <w:color w:val="505050"/>
                <w:spacing w:val="5"/>
                <w:sz w:val="24"/>
                <w:szCs w:val="21"/>
                <w:lang w:eastAsia="en-GB"/>
              </w:rPr>
              <w:t>Number of times this happened:</w:t>
            </w:r>
          </w:p>
        </w:tc>
      </w:tr>
      <w:tr w:rsidR="002967F5" w:rsidRPr="00637321" w14:paraId="52061754" w14:textId="77777777" w:rsidTr="00637321">
        <w:tc>
          <w:tcPr>
            <w:tcW w:w="6516" w:type="dxa"/>
          </w:tcPr>
          <w:p w14:paraId="0C53F623" w14:textId="77777777" w:rsidR="002967F5" w:rsidRPr="00637321" w:rsidRDefault="002967F5" w:rsidP="00EC10EA">
            <w:pPr>
              <w:spacing w:after="150" w:line="420" w:lineRule="atLeast"/>
              <w:rPr>
                <w:rFonts w:eastAsia="Times New Roman" w:cstheme="minorHAnsi"/>
                <w:color w:val="505050"/>
                <w:spacing w:val="5"/>
                <w:sz w:val="24"/>
                <w:szCs w:val="21"/>
                <w:lang w:eastAsia="en-GB"/>
              </w:rPr>
            </w:pPr>
            <w:r w:rsidRPr="00EC10EA">
              <w:rPr>
                <w:rFonts w:eastAsia="Times New Roman" w:cstheme="minorHAnsi"/>
                <w:color w:val="333333"/>
                <w:spacing w:val="5"/>
                <w:sz w:val="24"/>
                <w:szCs w:val="21"/>
                <w:lang w:eastAsia="en-GB"/>
              </w:rPr>
              <w:t>Someone has died</w:t>
            </w:r>
          </w:p>
        </w:tc>
        <w:tc>
          <w:tcPr>
            <w:tcW w:w="2494" w:type="dxa"/>
          </w:tcPr>
          <w:p w14:paraId="0C1663FA" w14:textId="77777777" w:rsidR="002967F5" w:rsidRPr="00637321" w:rsidRDefault="002967F5" w:rsidP="00EC10EA">
            <w:pPr>
              <w:spacing w:after="150" w:line="420" w:lineRule="atLeast"/>
              <w:rPr>
                <w:rFonts w:eastAsia="Times New Roman" w:cstheme="minorHAnsi"/>
                <w:color w:val="505050"/>
                <w:spacing w:val="5"/>
                <w:sz w:val="24"/>
                <w:szCs w:val="21"/>
                <w:lang w:eastAsia="en-GB"/>
              </w:rPr>
            </w:pPr>
            <w:r w:rsidRPr="00637321">
              <w:rPr>
                <w:rFonts w:eastAsia="Times New Roman" w:cstheme="minorHAnsi"/>
                <w:color w:val="505050"/>
                <w:spacing w:val="5"/>
                <w:sz w:val="24"/>
                <w:szCs w:val="21"/>
                <w:lang w:eastAsia="en-GB"/>
              </w:rPr>
              <w:t>0</w:t>
            </w:r>
          </w:p>
        </w:tc>
      </w:tr>
      <w:tr w:rsidR="002967F5" w:rsidRPr="00637321" w14:paraId="054D971F" w14:textId="77777777" w:rsidTr="00637321">
        <w:tc>
          <w:tcPr>
            <w:tcW w:w="6516" w:type="dxa"/>
          </w:tcPr>
          <w:p w14:paraId="4EB9E37B" w14:textId="77777777" w:rsidR="002967F5" w:rsidRPr="00637321" w:rsidRDefault="002967F5" w:rsidP="00EC10EA">
            <w:pPr>
              <w:spacing w:after="150" w:line="420" w:lineRule="atLeast"/>
              <w:rPr>
                <w:rFonts w:eastAsia="Times New Roman" w:cstheme="minorHAnsi"/>
                <w:color w:val="333333"/>
                <w:spacing w:val="5"/>
                <w:sz w:val="24"/>
                <w:szCs w:val="21"/>
                <w:lang w:eastAsia="en-GB"/>
              </w:rPr>
            </w:pPr>
            <w:r w:rsidRPr="00637321">
              <w:rPr>
                <w:rFonts w:eastAsia="Times New Roman" w:cstheme="minorHAnsi"/>
                <w:color w:val="333333"/>
                <w:spacing w:val="5"/>
                <w:sz w:val="24"/>
                <w:szCs w:val="21"/>
                <w:lang w:eastAsia="en-GB"/>
              </w:rPr>
              <w:t>Someone has permanently lost</w:t>
            </w:r>
            <w:r w:rsidRPr="00EC10EA">
              <w:rPr>
                <w:rFonts w:eastAsia="Times New Roman" w:cstheme="minorHAnsi"/>
                <w:color w:val="333333"/>
                <w:spacing w:val="5"/>
                <w:sz w:val="24"/>
                <w:szCs w:val="21"/>
                <w:lang w:eastAsia="en-GB"/>
              </w:rPr>
              <w:t xml:space="preserve"> bodily, sensory, motor, physiologic or intellectual functions</w:t>
            </w:r>
          </w:p>
        </w:tc>
        <w:tc>
          <w:tcPr>
            <w:tcW w:w="2494" w:type="dxa"/>
          </w:tcPr>
          <w:p w14:paraId="4C58CA16" w14:textId="77777777" w:rsidR="002967F5" w:rsidRPr="00637321" w:rsidRDefault="002967F5" w:rsidP="00EC10EA">
            <w:pPr>
              <w:spacing w:after="150" w:line="420" w:lineRule="atLeast"/>
              <w:rPr>
                <w:rFonts w:eastAsia="Times New Roman" w:cstheme="minorHAnsi"/>
                <w:color w:val="505050"/>
                <w:spacing w:val="5"/>
                <w:sz w:val="24"/>
                <w:szCs w:val="21"/>
                <w:lang w:eastAsia="en-GB"/>
              </w:rPr>
            </w:pPr>
            <w:r w:rsidRPr="00637321">
              <w:rPr>
                <w:rFonts w:eastAsia="Times New Roman" w:cstheme="minorHAnsi"/>
                <w:color w:val="505050"/>
                <w:spacing w:val="5"/>
                <w:sz w:val="24"/>
                <w:szCs w:val="21"/>
                <w:lang w:eastAsia="en-GB"/>
              </w:rPr>
              <w:t>0</w:t>
            </w:r>
          </w:p>
        </w:tc>
      </w:tr>
      <w:tr w:rsidR="002967F5" w:rsidRPr="00637321" w14:paraId="142E3421" w14:textId="77777777" w:rsidTr="00637321">
        <w:tc>
          <w:tcPr>
            <w:tcW w:w="6516" w:type="dxa"/>
          </w:tcPr>
          <w:p w14:paraId="0CAB2DAC" w14:textId="77777777" w:rsidR="002967F5" w:rsidRPr="00637321" w:rsidRDefault="002967F5" w:rsidP="00EC10EA">
            <w:pPr>
              <w:spacing w:after="150" w:line="420" w:lineRule="atLeast"/>
              <w:rPr>
                <w:rFonts w:eastAsia="Times New Roman" w:cstheme="minorHAnsi"/>
                <w:color w:val="333333"/>
                <w:spacing w:val="5"/>
                <w:sz w:val="24"/>
                <w:szCs w:val="21"/>
                <w:lang w:eastAsia="en-GB"/>
              </w:rPr>
            </w:pPr>
            <w:r w:rsidRPr="00637321">
              <w:rPr>
                <w:rFonts w:eastAsia="Times New Roman" w:cstheme="minorHAnsi"/>
                <w:color w:val="333333"/>
                <w:spacing w:val="5"/>
                <w:sz w:val="24"/>
                <w:szCs w:val="21"/>
                <w:lang w:eastAsia="en-GB"/>
              </w:rPr>
              <w:t>Someone’s treatment has increased because of harm</w:t>
            </w:r>
          </w:p>
        </w:tc>
        <w:tc>
          <w:tcPr>
            <w:tcW w:w="2494" w:type="dxa"/>
          </w:tcPr>
          <w:p w14:paraId="1E03D5CF" w14:textId="77777777" w:rsidR="002967F5" w:rsidRPr="00637321" w:rsidRDefault="002967F5" w:rsidP="00EC10EA">
            <w:pPr>
              <w:spacing w:after="150" w:line="420" w:lineRule="atLeast"/>
              <w:rPr>
                <w:rFonts w:eastAsia="Times New Roman" w:cstheme="minorHAnsi"/>
                <w:color w:val="505050"/>
                <w:spacing w:val="5"/>
                <w:sz w:val="24"/>
                <w:szCs w:val="21"/>
                <w:lang w:eastAsia="en-GB"/>
              </w:rPr>
            </w:pPr>
            <w:r w:rsidRPr="00637321">
              <w:rPr>
                <w:rFonts w:eastAsia="Times New Roman" w:cstheme="minorHAnsi"/>
                <w:color w:val="505050"/>
                <w:spacing w:val="5"/>
                <w:sz w:val="24"/>
                <w:szCs w:val="21"/>
                <w:lang w:eastAsia="en-GB"/>
              </w:rPr>
              <w:t>0</w:t>
            </w:r>
          </w:p>
        </w:tc>
      </w:tr>
      <w:tr w:rsidR="002967F5" w:rsidRPr="00637321" w14:paraId="10F47B8F" w14:textId="77777777" w:rsidTr="00637321">
        <w:tc>
          <w:tcPr>
            <w:tcW w:w="6516" w:type="dxa"/>
          </w:tcPr>
          <w:p w14:paraId="4B9285DE" w14:textId="77777777" w:rsidR="002967F5" w:rsidRPr="00637321" w:rsidRDefault="002967F5" w:rsidP="00EC10EA">
            <w:pPr>
              <w:spacing w:after="150" w:line="420" w:lineRule="atLeast"/>
              <w:rPr>
                <w:rFonts w:eastAsia="Times New Roman" w:cstheme="minorHAnsi"/>
                <w:color w:val="333333"/>
                <w:spacing w:val="5"/>
                <w:sz w:val="24"/>
                <w:szCs w:val="21"/>
                <w:lang w:eastAsia="en-GB"/>
              </w:rPr>
            </w:pPr>
            <w:r w:rsidRPr="00637321">
              <w:rPr>
                <w:rFonts w:eastAsia="Times New Roman" w:cstheme="minorHAnsi"/>
                <w:color w:val="333333"/>
                <w:spacing w:val="5"/>
                <w:sz w:val="24"/>
                <w:szCs w:val="21"/>
                <w:lang w:eastAsia="en-GB"/>
              </w:rPr>
              <w:t>The structure of someone’s body changes because of harm</w:t>
            </w:r>
          </w:p>
        </w:tc>
        <w:tc>
          <w:tcPr>
            <w:tcW w:w="2494" w:type="dxa"/>
          </w:tcPr>
          <w:p w14:paraId="4F26721C" w14:textId="77777777" w:rsidR="002967F5" w:rsidRPr="00637321" w:rsidRDefault="002967F5" w:rsidP="00EC10EA">
            <w:pPr>
              <w:spacing w:after="150" w:line="420" w:lineRule="atLeast"/>
              <w:rPr>
                <w:rFonts w:eastAsia="Times New Roman" w:cstheme="minorHAnsi"/>
                <w:color w:val="505050"/>
                <w:spacing w:val="5"/>
                <w:sz w:val="24"/>
                <w:szCs w:val="21"/>
                <w:lang w:eastAsia="en-GB"/>
              </w:rPr>
            </w:pPr>
            <w:r w:rsidRPr="00637321">
              <w:rPr>
                <w:rFonts w:eastAsia="Times New Roman" w:cstheme="minorHAnsi"/>
                <w:color w:val="505050"/>
                <w:spacing w:val="5"/>
                <w:sz w:val="24"/>
                <w:szCs w:val="21"/>
                <w:lang w:eastAsia="en-GB"/>
              </w:rPr>
              <w:t>0</w:t>
            </w:r>
          </w:p>
        </w:tc>
      </w:tr>
      <w:tr w:rsidR="002967F5" w:rsidRPr="00637321" w14:paraId="03AE10AB" w14:textId="77777777" w:rsidTr="00637321">
        <w:tc>
          <w:tcPr>
            <w:tcW w:w="6516" w:type="dxa"/>
          </w:tcPr>
          <w:p w14:paraId="0E34D932" w14:textId="77777777" w:rsidR="002967F5" w:rsidRPr="00637321" w:rsidRDefault="002967F5" w:rsidP="00EC10EA">
            <w:pPr>
              <w:spacing w:after="150" w:line="420" w:lineRule="atLeast"/>
              <w:rPr>
                <w:rFonts w:eastAsia="Times New Roman" w:cstheme="minorHAnsi"/>
                <w:color w:val="333333"/>
                <w:spacing w:val="5"/>
                <w:sz w:val="24"/>
                <w:szCs w:val="21"/>
                <w:lang w:eastAsia="en-GB"/>
              </w:rPr>
            </w:pPr>
            <w:r w:rsidRPr="00EC10EA">
              <w:rPr>
                <w:rFonts w:eastAsia="Times New Roman" w:cstheme="minorHAnsi"/>
                <w:color w:val="333333"/>
                <w:spacing w:val="5"/>
                <w:sz w:val="24"/>
                <w:szCs w:val="21"/>
                <w:lang w:eastAsia="en-GB"/>
              </w:rPr>
              <w:t>Someone’s life expectancy becomes shorter because of harm</w:t>
            </w:r>
          </w:p>
        </w:tc>
        <w:tc>
          <w:tcPr>
            <w:tcW w:w="2494" w:type="dxa"/>
          </w:tcPr>
          <w:p w14:paraId="1C7D0824" w14:textId="77777777" w:rsidR="002967F5" w:rsidRPr="00637321" w:rsidRDefault="002967F5" w:rsidP="00EC10EA">
            <w:pPr>
              <w:spacing w:after="150" w:line="420" w:lineRule="atLeast"/>
              <w:rPr>
                <w:rFonts w:eastAsia="Times New Roman" w:cstheme="minorHAnsi"/>
                <w:color w:val="505050"/>
                <w:spacing w:val="5"/>
                <w:sz w:val="24"/>
                <w:szCs w:val="21"/>
                <w:lang w:eastAsia="en-GB"/>
              </w:rPr>
            </w:pPr>
            <w:r w:rsidRPr="00637321">
              <w:rPr>
                <w:rFonts w:eastAsia="Times New Roman" w:cstheme="minorHAnsi"/>
                <w:color w:val="505050"/>
                <w:spacing w:val="5"/>
                <w:sz w:val="24"/>
                <w:szCs w:val="21"/>
                <w:lang w:eastAsia="en-GB"/>
              </w:rPr>
              <w:t>0</w:t>
            </w:r>
          </w:p>
        </w:tc>
      </w:tr>
      <w:tr w:rsidR="002967F5" w:rsidRPr="00637321" w14:paraId="3B2389F8" w14:textId="77777777" w:rsidTr="00637321">
        <w:tc>
          <w:tcPr>
            <w:tcW w:w="6516" w:type="dxa"/>
          </w:tcPr>
          <w:p w14:paraId="47C21D74" w14:textId="77777777" w:rsidR="002967F5" w:rsidRPr="00637321" w:rsidRDefault="002967F5" w:rsidP="00EC10EA">
            <w:pPr>
              <w:spacing w:after="150" w:line="420" w:lineRule="atLeast"/>
              <w:rPr>
                <w:rFonts w:eastAsia="Times New Roman" w:cstheme="minorHAnsi"/>
                <w:color w:val="333333"/>
                <w:spacing w:val="5"/>
                <w:sz w:val="24"/>
                <w:szCs w:val="21"/>
                <w:lang w:eastAsia="en-GB"/>
              </w:rPr>
            </w:pPr>
            <w:r w:rsidRPr="00EC10EA">
              <w:rPr>
                <w:rFonts w:eastAsia="Times New Roman" w:cstheme="minorHAnsi"/>
                <w:color w:val="333333"/>
                <w:spacing w:val="5"/>
                <w:sz w:val="24"/>
                <w:szCs w:val="21"/>
                <w:lang w:eastAsia="en-GB"/>
              </w:rPr>
              <w:t>Someone’s sensory, motor or intellectual functions is impaired for 28 days or more</w:t>
            </w:r>
          </w:p>
        </w:tc>
        <w:tc>
          <w:tcPr>
            <w:tcW w:w="2494" w:type="dxa"/>
          </w:tcPr>
          <w:p w14:paraId="7CF0C0DB" w14:textId="77777777" w:rsidR="002967F5" w:rsidRPr="00637321" w:rsidRDefault="002967F5" w:rsidP="00EC10EA">
            <w:pPr>
              <w:spacing w:after="150" w:line="420" w:lineRule="atLeast"/>
              <w:rPr>
                <w:rFonts w:eastAsia="Times New Roman" w:cstheme="minorHAnsi"/>
                <w:color w:val="505050"/>
                <w:spacing w:val="5"/>
                <w:sz w:val="24"/>
                <w:szCs w:val="21"/>
                <w:lang w:eastAsia="en-GB"/>
              </w:rPr>
            </w:pPr>
            <w:r w:rsidRPr="00637321">
              <w:rPr>
                <w:rFonts w:eastAsia="Times New Roman" w:cstheme="minorHAnsi"/>
                <w:color w:val="505050"/>
                <w:spacing w:val="5"/>
                <w:sz w:val="24"/>
                <w:szCs w:val="21"/>
                <w:lang w:eastAsia="en-GB"/>
              </w:rPr>
              <w:t>0</w:t>
            </w:r>
          </w:p>
        </w:tc>
      </w:tr>
      <w:tr w:rsidR="002967F5" w:rsidRPr="00637321" w14:paraId="26BE4137" w14:textId="77777777" w:rsidTr="00637321">
        <w:tc>
          <w:tcPr>
            <w:tcW w:w="6516" w:type="dxa"/>
          </w:tcPr>
          <w:p w14:paraId="5D70C509" w14:textId="77777777" w:rsidR="002967F5" w:rsidRPr="00637321" w:rsidRDefault="002967F5" w:rsidP="00EC10EA">
            <w:pPr>
              <w:spacing w:after="150" w:line="420" w:lineRule="atLeast"/>
              <w:rPr>
                <w:rFonts w:eastAsia="Times New Roman" w:cstheme="minorHAnsi"/>
                <w:color w:val="333333"/>
                <w:spacing w:val="5"/>
                <w:sz w:val="24"/>
                <w:szCs w:val="21"/>
                <w:lang w:eastAsia="en-GB"/>
              </w:rPr>
            </w:pPr>
            <w:r w:rsidRPr="00637321">
              <w:rPr>
                <w:rFonts w:eastAsia="Times New Roman" w:cstheme="minorHAnsi"/>
                <w:color w:val="333333"/>
                <w:spacing w:val="5"/>
                <w:sz w:val="24"/>
                <w:szCs w:val="21"/>
                <w:lang w:eastAsia="en-GB"/>
              </w:rPr>
              <w:t>A person needed health treatment in order to prevent them dying</w:t>
            </w:r>
          </w:p>
        </w:tc>
        <w:tc>
          <w:tcPr>
            <w:tcW w:w="2494" w:type="dxa"/>
          </w:tcPr>
          <w:p w14:paraId="4A43D138" w14:textId="77777777" w:rsidR="002967F5" w:rsidRPr="00637321" w:rsidRDefault="002967F5" w:rsidP="00EC10EA">
            <w:pPr>
              <w:spacing w:after="150" w:line="420" w:lineRule="atLeast"/>
              <w:rPr>
                <w:rFonts w:eastAsia="Times New Roman" w:cstheme="minorHAnsi"/>
                <w:color w:val="505050"/>
                <w:spacing w:val="5"/>
                <w:sz w:val="24"/>
                <w:szCs w:val="21"/>
                <w:lang w:eastAsia="en-GB"/>
              </w:rPr>
            </w:pPr>
            <w:r w:rsidRPr="00637321">
              <w:rPr>
                <w:rFonts w:eastAsia="Times New Roman" w:cstheme="minorHAnsi"/>
                <w:color w:val="505050"/>
                <w:spacing w:val="5"/>
                <w:sz w:val="24"/>
                <w:szCs w:val="21"/>
                <w:lang w:eastAsia="en-GB"/>
              </w:rPr>
              <w:t>0</w:t>
            </w:r>
          </w:p>
        </w:tc>
      </w:tr>
      <w:tr w:rsidR="002967F5" w:rsidRPr="00637321" w14:paraId="3F01E735" w14:textId="77777777" w:rsidTr="00637321">
        <w:tc>
          <w:tcPr>
            <w:tcW w:w="6516" w:type="dxa"/>
          </w:tcPr>
          <w:p w14:paraId="6BD895B9" w14:textId="77777777" w:rsidR="002967F5" w:rsidRPr="00637321" w:rsidRDefault="002967F5" w:rsidP="00EC10EA">
            <w:pPr>
              <w:spacing w:after="150" w:line="420" w:lineRule="atLeast"/>
              <w:rPr>
                <w:rFonts w:eastAsia="Times New Roman" w:cstheme="minorHAnsi"/>
                <w:color w:val="333333"/>
                <w:spacing w:val="5"/>
                <w:sz w:val="24"/>
                <w:szCs w:val="21"/>
                <w:lang w:eastAsia="en-GB"/>
              </w:rPr>
            </w:pPr>
            <w:r w:rsidRPr="00EC10EA">
              <w:rPr>
                <w:rFonts w:eastAsia="Times New Roman" w:cstheme="minorHAnsi"/>
                <w:color w:val="333333"/>
                <w:spacing w:val="5"/>
                <w:sz w:val="24"/>
                <w:szCs w:val="21"/>
                <w:lang w:eastAsia="en-GB"/>
              </w:rPr>
              <w:lastRenderedPageBreak/>
              <w:t>A person needing health treatment in order to prevent other injuries</w:t>
            </w:r>
          </w:p>
        </w:tc>
        <w:tc>
          <w:tcPr>
            <w:tcW w:w="2494" w:type="dxa"/>
          </w:tcPr>
          <w:p w14:paraId="6EF4C3A1" w14:textId="77777777" w:rsidR="002967F5" w:rsidRPr="00637321" w:rsidRDefault="002967F5" w:rsidP="00EC10EA">
            <w:pPr>
              <w:spacing w:after="150" w:line="420" w:lineRule="atLeast"/>
              <w:rPr>
                <w:rFonts w:eastAsia="Times New Roman" w:cstheme="minorHAnsi"/>
                <w:color w:val="505050"/>
                <w:spacing w:val="5"/>
                <w:sz w:val="24"/>
                <w:szCs w:val="21"/>
                <w:lang w:eastAsia="en-GB"/>
              </w:rPr>
            </w:pPr>
            <w:r w:rsidRPr="00637321">
              <w:rPr>
                <w:rFonts w:eastAsia="Times New Roman" w:cstheme="minorHAnsi"/>
                <w:color w:val="505050"/>
                <w:spacing w:val="5"/>
                <w:sz w:val="24"/>
                <w:szCs w:val="21"/>
                <w:lang w:eastAsia="en-GB"/>
              </w:rPr>
              <w:t>0</w:t>
            </w:r>
          </w:p>
        </w:tc>
      </w:tr>
    </w:tbl>
    <w:p w14:paraId="470FAF80" w14:textId="77777777" w:rsidR="00EC10EA" w:rsidRPr="00637321" w:rsidRDefault="00EC10EA" w:rsidP="00EC10EA">
      <w:pPr>
        <w:spacing w:after="150" w:line="420" w:lineRule="atLeast"/>
        <w:rPr>
          <w:rFonts w:eastAsia="Times New Roman" w:cstheme="minorHAnsi"/>
          <w:color w:val="505050"/>
          <w:spacing w:val="5"/>
          <w:sz w:val="24"/>
          <w:szCs w:val="21"/>
          <w:lang w:eastAsia="en-GB"/>
        </w:rPr>
      </w:pPr>
    </w:p>
    <w:p w14:paraId="3FCC93C6" w14:textId="77777777" w:rsidR="00637321" w:rsidRPr="00637321" w:rsidRDefault="00637321" w:rsidP="00637321">
      <w:pPr>
        <w:spacing w:after="150" w:line="420" w:lineRule="atLeast"/>
        <w:rPr>
          <w:rFonts w:eastAsia="Times New Roman" w:cstheme="minorHAnsi"/>
          <w:color w:val="505050"/>
          <w:spacing w:val="5"/>
          <w:sz w:val="24"/>
          <w:szCs w:val="24"/>
          <w:lang w:eastAsia="en-GB"/>
        </w:rPr>
      </w:pPr>
    </w:p>
    <w:p w14:paraId="264DD757" w14:textId="77777777" w:rsidR="00637321" w:rsidRPr="00637321" w:rsidRDefault="00637321" w:rsidP="00637321">
      <w:pPr>
        <w:rPr>
          <w:rFonts w:cstheme="minorHAnsi"/>
          <w:sz w:val="24"/>
          <w:szCs w:val="24"/>
        </w:rPr>
      </w:pPr>
    </w:p>
    <w:tbl>
      <w:tblPr>
        <w:tblStyle w:val="TableGrid"/>
        <w:tblW w:w="0" w:type="auto"/>
        <w:tblLook w:val="04A0" w:firstRow="1" w:lastRow="0" w:firstColumn="1" w:lastColumn="0" w:noHBand="0" w:noVBand="1"/>
      </w:tblPr>
      <w:tblGrid>
        <w:gridCol w:w="4505"/>
        <w:gridCol w:w="4505"/>
      </w:tblGrid>
      <w:tr w:rsidR="00637321" w:rsidRPr="00637321" w14:paraId="4BA542FF" w14:textId="77777777" w:rsidTr="00A332F2">
        <w:tc>
          <w:tcPr>
            <w:tcW w:w="4505" w:type="dxa"/>
          </w:tcPr>
          <w:p w14:paraId="134AF83A" w14:textId="77777777" w:rsidR="00637321" w:rsidRPr="00637321" w:rsidRDefault="00637321" w:rsidP="00A332F2">
            <w:pPr>
              <w:rPr>
                <w:rFonts w:cstheme="minorHAnsi"/>
                <w:b/>
                <w:sz w:val="24"/>
                <w:szCs w:val="24"/>
              </w:rPr>
            </w:pPr>
            <w:r w:rsidRPr="00637321">
              <w:rPr>
                <w:rFonts w:cstheme="minorHAnsi"/>
                <w:b/>
                <w:sz w:val="24"/>
                <w:szCs w:val="24"/>
              </w:rPr>
              <w:t>Did the responsible person for triggering duty of candour appropriately follow the procedure?</w:t>
            </w:r>
          </w:p>
          <w:p w14:paraId="3E2197D2" w14:textId="77777777" w:rsidR="00637321" w:rsidRPr="00637321" w:rsidRDefault="00637321" w:rsidP="00A332F2">
            <w:pPr>
              <w:rPr>
                <w:rFonts w:cstheme="minorHAnsi"/>
                <w:b/>
                <w:sz w:val="24"/>
                <w:szCs w:val="24"/>
              </w:rPr>
            </w:pPr>
            <w:r w:rsidRPr="00637321">
              <w:rPr>
                <w:rFonts w:cstheme="minorHAnsi"/>
                <w:b/>
                <w:sz w:val="24"/>
                <w:szCs w:val="24"/>
              </w:rPr>
              <w:t>If not, did this result in any under or over reporting of duty of candour?</w:t>
            </w:r>
          </w:p>
        </w:tc>
        <w:tc>
          <w:tcPr>
            <w:tcW w:w="4505" w:type="dxa"/>
          </w:tcPr>
          <w:p w14:paraId="29CA2975" w14:textId="77777777" w:rsidR="00637321" w:rsidRPr="00637321" w:rsidRDefault="00637321" w:rsidP="00A332F2">
            <w:pPr>
              <w:rPr>
                <w:rFonts w:cstheme="minorHAnsi"/>
                <w:sz w:val="24"/>
                <w:szCs w:val="24"/>
              </w:rPr>
            </w:pPr>
            <w:r w:rsidRPr="00637321">
              <w:rPr>
                <w:rFonts w:cstheme="minorHAnsi"/>
                <w:sz w:val="24"/>
                <w:szCs w:val="24"/>
              </w:rPr>
              <w:t>N/A</w:t>
            </w:r>
          </w:p>
        </w:tc>
      </w:tr>
      <w:tr w:rsidR="00637321" w:rsidRPr="00637321" w14:paraId="38872A24" w14:textId="77777777" w:rsidTr="00A332F2">
        <w:tc>
          <w:tcPr>
            <w:tcW w:w="4505" w:type="dxa"/>
          </w:tcPr>
          <w:p w14:paraId="1E081425" w14:textId="77777777" w:rsidR="00637321" w:rsidRPr="00637321" w:rsidRDefault="00637321" w:rsidP="00A332F2">
            <w:pPr>
              <w:rPr>
                <w:rFonts w:cstheme="minorHAnsi"/>
                <w:b/>
                <w:sz w:val="24"/>
                <w:szCs w:val="24"/>
              </w:rPr>
            </w:pPr>
            <w:r w:rsidRPr="00637321">
              <w:rPr>
                <w:rFonts w:cstheme="minorHAnsi"/>
                <w:b/>
                <w:sz w:val="24"/>
                <w:szCs w:val="24"/>
              </w:rPr>
              <w:t>What lessons were learnt?</w:t>
            </w:r>
          </w:p>
          <w:p w14:paraId="36F98B4F" w14:textId="77777777" w:rsidR="00637321" w:rsidRPr="00637321" w:rsidRDefault="00637321" w:rsidP="00A332F2">
            <w:pPr>
              <w:rPr>
                <w:rFonts w:cstheme="minorHAnsi"/>
                <w:b/>
                <w:sz w:val="24"/>
                <w:szCs w:val="24"/>
              </w:rPr>
            </w:pPr>
          </w:p>
        </w:tc>
        <w:tc>
          <w:tcPr>
            <w:tcW w:w="4505" w:type="dxa"/>
          </w:tcPr>
          <w:p w14:paraId="1E623490" w14:textId="77777777" w:rsidR="00637321" w:rsidRPr="00637321" w:rsidRDefault="00637321" w:rsidP="00A332F2">
            <w:pPr>
              <w:rPr>
                <w:rFonts w:cstheme="minorHAnsi"/>
                <w:sz w:val="24"/>
                <w:szCs w:val="24"/>
              </w:rPr>
            </w:pPr>
            <w:r w:rsidRPr="00637321">
              <w:rPr>
                <w:rFonts w:cstheme="minorHAnsi"/>
                <w:sz w:val="24"/>
                <w:szCs w:val="24"/>
              </w:rPr>
              <w:t>N/A</w:t>
            </w:r>
          </w:p>
        </w:tc>
      </w:tr>
      <w:tr w:rsidR="00637321" w:rsidRPr="00637321" w14:paraId="51F60215" w14:textId="77777777" w:rsidTr="00A332F2">
        <w:tc>
          <w:tcPr>
            <w:tcW w:w="4505" w:type="dxa"/>
          </w:tcPr>
          <w:p w14:paraId="346878E7" w14:textId="77777777" w:rsidR="00637321" w:rsidRPr="00637321" w:rsidRDefault="00637321" w:rsidP="00A332F2">
            <w:pPr>
              <w:rPr>
                <w:rFonts w:cstheme="minorHAnsi"/>
                <w:b/>
                <w:sz w:val="24"/>
                <w:szCs w:val="24"/>
              </w:rPr>
            </w:pPr>
            <w:r w:rsidRPr="00637321">
              <w:rPr>
                <w:rFonts w:cstheme="minorHAnsi"/>
                <w:b/>
                <w:sz w:val="24"/>
                <w:szCs w:val="24"/>
              </w:rPr>
              <w:t>What learning &amp; improvements have been put in place as a result?</w:t>
            </w:r>
          </w:p>
        </w:tc>
        <w:tc>
          <w:tcPr>
            <w:tcW w:w="4505" w:type="dxa"/>
          </w:tcPr>
          <w:p w14:paraId="26F2F6E2" w14:textId="77777777" w:rsidR="00637321" w:rsidRPr="00637321" w:rsidRDefault="00637321" w:rsidP="00A332F2">
            <w:pPr>
              <w:rPr>
                <w:rFonts w:cstheme="minorHAnsi"/>
                <w:sz w:val="24"/>
                <w:szCs w:val="24"/>
              </w:rPr>
            </w:pPr>
            <w:r w:rsidRPr="00637321">
              <w:rPr>
                <w:rFonts w:cstheme="minorHAnsi"/>
                <w:sz w:val="24"/>
                <w:szCs w:val="24"/>
              </w:rPr>
              <w:t>N/A</w:t>
            </w:r>
          </w:p>
        </w:tc>
      </w:tr>
      <w:tr w:rsidR="00637321" w:rsidRPr="00637321" w14:paraId="28C3EB93" w14:textId="77777777" w:rsidTr="00A332F2">
        <w:tc>
          <w:tcPr>
            <w:tcW w:w="4505" w:type="dxa"/>
          </w:tcPr>
          <w:p w14:paraId="65BAD27E" w14:textId="77777777" w:rsidR="00637321" w:rsidRPr="00637321" w:rsidRDefault="00637321" w:rsidP="00A332F2">
            <w:pPr>
              <w:rPr>
                <w:rFonts w:cstheme="minorHAnsi"/>
                <w:b/>
                <w:sz w:val="24"/>
                <w:szCs w:val="24"/>
              </w:rPr>
            </w:pPr>
            <w:r w:rsidRPr="00637321">
              <w:rPr>
                <w:rFonts w:cstheme="minorHAnsi"/>
                <w:b/>
                <w:sz w:val="24"/>
                <w:szCs w:val="24"/>
              </w:rPr>
              <w:t>Did this result in a change/update to your duty of candour policy/procedure?</w:t>
            </w:r>
          </w:p>
        </w:tc>
        <w:tc>
          <w:tcPr>
            <w:tcW w:w="4505" w:type="dxa"/>
          </w:tcPr>
          <w:p w14:paraId="4B2A1712" w14:textId="77777777" w:rsidR="00637321" w:rsidRPr="00637321" w:rsidRDefault="00637321" w:rsidP="00A332F2">
            <w:pPr>
              <w:rPr>
                <w:rFonts w:cstheme="minorHAnsi"/>
                <w:sz w:val="24"/>
                <w:szCs w:val="24"/>
              </w:rPr>
            </w:pPr>
            <w:r w:rsidRPr="00637321">
              <w:rPr>
                <w:rFonts w:cstheme="minorHAnsi"/>
                <w:sz w:val="24"/>
                <w:szCs w:val="24"/>
              </w:rPr>
              <w:t>N/A</w:t>
            </w:r>
          </w:p>
        </w:tc>
      </w:tr>
      <w:tr w:rsidR="00637321" w:rsidRPr="00637321" w14:paraId="286913ED" w14:textId="77777777" w:rsidTr="00A332F2">
        <w:tc>
          <w:tcPr>
            <w:tcW w:w="4505" w:type="dxa"/>
          </w:tcPr>
          <w:p w14:paraId="7F313EAA" w14:textId="77777777" w:rsidR="00637321" w:rsidRPr="00637321" w:rsidRDefault="00637321" w:rsidP="00A332F2">
            <w:pPr>
              <w:rPr>
                <w:rFonts w:cstheme="minorHAnsi"/>
                <w:b/>
                <w:sz w:val="24"/>
                <w:szCs w:val="24"/>
              </w:rPr>
            </w:pPr>
            <w:r w:rsidRPr="00637321">
              <w:rPr>
                <w:rFonts w:cstheme="minorHAnsi"/>
                <w:b/>
                <w:sz w:val="24"/>
                <w:szCs w:val="24"/>
              </w:rPr>
              <w:t>How did you share lessons learned and who with?</w:t>
            </w:r>
          </w:p>
        </w:tc>
        <w:tc>
          <w:tcPr>
            <w:tcW w:w="4505" w:type="dxa"/>
          </w:tcPr>
          <w:p w14:paraId="1F3DFEEA" w14:textId="77777777" w:rsidR="00637321" w:rsidRPr="00637321" w:rsidRDefault="00637321" w:rsidP="00A332F2">
            <w:pPr>
              <w:rPr>
                <w:rFonts w:cstheme="minorHAnsi"/>
                <w:sz w:val="24"/>
                <w:szCs w:val="24"/>
              </w:rPr>
            </w:pPr>
            <w:r w:rsidRPr="00637321">
              <w:rPr>
                <w:rFonts w:cstheme="minorHAnsi"/>
                <w:sz w:val="24"/>
                <w:szCs w:val="24"/>
              </w:rPr>
              <w:t>N/A</w:t>
            </w:r>
          </w:p>
        </w:tc>
      </w:tr>
    </w:tbl>
    <w:p w14:paraId="622E386C" w14:textId="77777777" w:rsidR="002967F5" w:rsidRPr="00637321" w:rsidRDefault="002967F5" w:rsidP="00EC10EA">
      <w:pPr>
        <w:spacing w:after="150" w:line="420" w:lineRule="atLeast"/>
        <w:rPr>
          <w:rFonts w:eastAsia="Times New Roman" w:cstheme="minorHAnsi"/>
          <w:color w:val="505050"/>
          <w:spacing w:val="5"/>
          <w:sz w:val="24"/>
          <w:szCs w:val="21"/>
          <w:lang w:eastAsia="en-GB"/>
        </w:rPr>
      </w:pPr>
    </w:p>
    <w:p w14:paraId="22377275" w14:textId="77777777" w:rsidR="00637321" w:rsidRPr="00637321" w:rsidRDefault="00637321" w:rsidP="00EC10EA">
      <w:pPr>
        <w:spacing w:after="150" w:line="420" w:lineRule="atLeast"/>
        <w:rPr>
          <w:rFonts w:cstheme="minorHAnsi"/>
          <w:b/>
          <w:color w:val="4A4B64"/>
          <w:sz w:val="24"/>
          <w:szCs w:val="24"/>
          <w:shd w:val="clear" w:color="auto" w:fill="FFFFFF"/>
        </w:rPr>
      </w:pPr>
    </w:p>
    <w:p w14:paraId="442EC992" w14:textId="77777777" w:rsidR="00EC10EA" w:rsidRPr="00637321" w:rsidRDefault="00FF5237" w:rsidP="00EC10EA">
      <w:pPr>
        <w:spacing w:after="150" w:line="420" w:lineRule="atLeast"/>
        <w:rPr>
          <w:rFonts w:cstheme="minorHAnsi"/>
          <w:b/>
          <w:color w:val="4A4B64"/>
          <w:sz w:val="24"/>
          <w:szCs w:val="24"/>
          <w:shd w:val="clear" w:color="auto" w:fill="FFFFFF"/>
        </w:rPr>
      </w:pPr>
      <w:r w:rsidRPr="00637321">
        <w:rPr>
          <w:rFonts w:cstheme="minorHAnsi"/>
          <w:b/>
          <w:color w:val="4A4B64"/>
          <w:sz w:val="24"/>
          <w:szCs w:val="24"/>
          <w:shd w:val="clear" w:color="auto" w:fill="FFFFFF"/>
        </w:rPr>
        <w:t>H</w:t>
      </w:r>
      <w:r w:rsidR="00637321" w:rsidRPr="00637321">
        <w:rPr>
          <w:rFonts w:cstheme="minorHAnsi"/>
          <w:b/>
          <w:color w:val="4A4B64"/>
          <w:sz w:val="24"/>
          <w:szCs w:val="24"/>
          <w:shd w:val="clear" w:color="auto" w:fill="FFFFFF"/>
        </w:rPr>
        <w:t>ow have we made sure that management (and our</w:t>
      </w:r>
      <w:r w:rsidRPr="00637321">
        <w:rPr>
          <w:rFonts w:cstheme="minorHAnsi"/>
          <w:b/>
          <w:color w:val="4A4B64"/>
          <w:sz w:val="24"/>
          <w:szCs w:val="24"/>
          <w:shd w:val="clear" w:color="auto" w:fill="FFFFFF"/>
        </w:rPr>
        <w:t xml:space="preserve"> staff</w:t>
      </w:r>
      <w:r w:rsidR="00637321" w:rsidRPr="00637321">
        <w:rPr>
          <w:rFonts w:cstheme="minorHAnsi"/>
          <w:b/>
          <w:color w:val="4A4B64"/>
          <w:sz w:val="24"/>
          <w:szCs w:val="24"/>
          <w:shd w:val="clear" w:color="auto" w:fill="FFFFFF"/>
        </w:rPr>
        <w:t xml:space="preserve"> team) understand our</w:t>
      </w:r>
      <w:r w:rsidRPr="00637321">
        <w:rPr>
          <w:rFonts w:cstheme="minorHAnsi"/>
          <w:b/>
          <w:color w:val="4A4B64"/>
          <w:sz w:val="24"/>
          <w:szCs w:val="24"/>
          <w:shd w:val="clear" w:color="auto" w:fill="FFFFFF"/>
        </w:rPr>
        <w:t xml:space="preserve"> responsibilities relating to the duty of candour and have systems in place to respond effectively?</w:t>
      </w:r>
    </w:p>
    <w:p w14:paraId="51F7C26D" w14:textId="77777777" w:rsidR="00637321" w:rsidRPr="00637321" w:rsidRDefault="00637321" w:rsidP="00637321">
      <w:pPr>
        <w:pStyle w:val="ListParagraph"/>
        <w:numPr>
          <w:ilvl w:val="0"/>
          <w:numId w:val="1"/>
        </w:numPr>
        <w:spacing w:after="150" w:line="420" w:lineRule="atLeast"/>
        <w:rPr>
          <w:rFonts w:eastAsia="Times New Roman" w:cstheme="minorHAnsi"/>
          <w:color w:val="505050"/>
          <w:spacing w:val="5"/>
          <w:sz w:val="24"/>
          <w:szCs w:val="24"/>
          <w:lang w:eastAsia="en-GB"/>
        </w:rPr>
      </w:pPr>
      <w:r w:rsidRPr="00637321">
        <w:rPr>
          <w:rFonts w:cstheme="minorHAnsi"/>
          <w:color w:val="4A4B64"/>
          <w:sz w:val="24"/>
          <w:szCs w:val="24"/>
          <w:shd w:val="clear" w:color="auto" w:fill="FFFFFF"/>
        </w:rPr>
        <w:t>All staff have completed the SSSC duty of Candour Online Module</w:t>
      </w:r>
    </w:p>
    <w:p w14:paraId="28EAA804" w14:textId="77777777" w:rsidR="00637321" w:rsidRPr="00637321" w:rsidRDefault="00637321" w:rsidP="00637321">
      <w:pPr>
        <w:pStyle w:val="ListParagraph"/>
        <w:numPr>
          <w:ilvl w:val="0"/>
          <w:numId w:val="1"/>
        </w:numPr>
        <w:spacing w:after="150" w:line="420" w:lineRule="atLeast"/>
        <w:rPr>
          <w:rFonts w:eastAsia="Times New Roman" w:cstheme="minorHAnsi"/>
          <w:color w:val="505050"/>
          <w:spacing w:val="5"/>
          <w:sz w:val="24"/>
          <w:szCs w:val="24"/>
          <w:lang w:eastAsia="en-GB"/>
        </w:rPr>
      </w:pPr>
      <w:r w:rsidRPr="00637321">
        <w:rPr>
          <w:rFonts w:eastAsia="Times New Roman" w:cstheme="minorHAnsi"/>
          <w:color w:val="505050"/>
          <w:spacing w:val="5"/>
          <w:sz w:val="24"/>
          <w:szCs w:val="24"/>
          <w:lang w:eastAsia="en-GB"/>
        </w:rPr>
        <w:t>Our Duty of Candour Policy has been implemented</w:t>
      </w:r>
    </w:p>
    <w:p w14:paraId="4D3C61D1" w14:textId="77777777" w:rsidR="00637321" w:rsidRPr="00637321" w:rsidRDefault="00637321" w:rsidP="00637321">
      <w:pPr>
        <w:pStyle w:val="ListParagraph"/>
        <w:numPr>
          <w:ilvl w:val="0"/>
          <w:numId w:val="1"/>
        </w:numPr>
        <w:spacing w:after="150" w:line="420" w:lineRule="atLeast"/>
        <w:rPr>
          <w:rFonts w:eastAsia="Times New Roman" w:cstheme="minorHAnsi"/>
          <w:color w:val="505050"/>
          <w:spacing w:val="5"/>
          <w:sz w:val="24"/>
          <w:szCs w:val="24"/>
          <w:lang w:eastAsia="en-GB"/>
        </w:rPr>
      </w:pPr>
      <w:r w:rsidRPr="00637321">
        <w:rPr>
          <w:rFonts w:eastAsia="Times New Roman" w:cstheme="minorHAnsi"/>
          <w:color w:val="505050"/>
          <w:spacing w:val="5"/>
          <w:sz w:val="24"/>
          <w:szCs w:val="24"/>
          <w:lang w:eastAsia="en-GB"/>
        </w:rPr>
        <w:t>Our organisation strives to have an open and honest culture and we have strong bonds with our service users</w:t>
      </w:r>
    </w:p>
    <w:p w14:paraId="208169E4" w14:textId="77777777" w:rsidR="00637321" w:rsidRPr="00637321" w:rsidRDefault="00637321" w:rsidP="00637321">
      <w:pPr>
        <w:spacing w:after="150" w:line="420" w:lineRule="atLeast"/>
        <w:rPr>
          <w:rFonts w:eastAsia="Times New Roman" w:cstheme="minorHAnsi"/>
          <w:color w:val="505050"/>
          <w:spacing w:val="5"/>
          <w:sz w:val="24"/>
          <w:szCs w:val="24"/>
          <w:lang w:eastAsia="en-GB"/>
        </w:rPr>
      </w:pPr>
    </w:p>
    <w:p w14:paraId="1FC816F0" w14:textId="77777777" w:rsidR="00637321" w:rsidRPr="00637321" w:rsidRDefault="00637321" w:rsidP="00637321">
      <w:pPr>
        <w:spacing w:after="150" w:line="420" w:lineRule="atLeast"/>
        <w:rPr>
          <w:rFonts w:eastAsia="Times New Roman" w:cstheme="minorHAnsi"/>
          <w:color w:val="505050"/>
          <w:spacing w:val="5"/>
          <w:sz w:val="24"/>
          <w:szCs w:val="24"/>
          <w:lang w:eastAsia="en-GB"/>
        </w:rPr>
      </w:pPr>
      <w:r w:rsidRPr="00637321">
        <w:rPr>
          <w:rFonts w:eastAsia="Times New Roman" w:cstheme="minorHAnsi"/>
          <w:color w:val="505050"/>
          <w:spacing w:val="5"/>
          <w:sz w:val="24"/>
          <w:szCs w:val="24"/>
          <w:lang w:eastAsia="en-GB"/>
        </w:rPr>
        <w:t>Report Completed by: Caroline Thomson</w:t>
      </w:r>
    </w:p>
    <w:p w14:paraId="5A24B720" w14:textId="1219A2A3" w:rsidR="00637321" w:rsidRPr="00637321" w:rsidRDefault="00637321" w:rsidP="00637321">
      <w:pPr>
        <w:spacing w:after="150" w:line="420" w:lineRule="atLeast"/>
        <w:rPr>
          <w:rFonts w:eastAsia="Times New Roman" w:cstheme="minorHAnsi"/>
          <w:color w:val="505050"/>
          <w:spacing w:val="5"/>
          <w:sz w:val="24"/>
          <w:szCs w:val="24"/>
          <w:lang w:eastAsia="en-GB"/>
        </w:rPr>
      </w:pPr>
      <w:r w:rsidRPr="00637321">
        <w:rPr>
          <w:rFonts w:eastAsia="Times New Roman" w:cstheme="minorHAnsi"/>
          <w:color w:val="505050"/>
          <w:spacing w:val="5"/>
          <w:sz w:val="24"/>
          <w:szCs w:val="24"/>
          <w:lang w:eastAsia="en-GB"/>
        </w:rPr>
        <w:t>Date: 1</w:t>
      </w:r>
      <w:r w:rsidRPr="00637321">
        <w:rPr>
          <w:rFonts w:eastAsia="Times New Roman" w:cstheme="minorHAnsi"/>
          <w:color w:val="505050"/>
          <w:spacing w:val="5"/>
          <w:sz w:val="24"/>
          <w:szCs w:val="24"/>
          <w:vertAlign w:val="superscript"/>
          <w:lang w:eastAsia="en-GB"/>
        </w:rPr>
        <w:t>st</w:t>
      </w:r>
      <w:r w:rsidRPr="00637321">
        <w:rPr>
          <w:rFonts w:eastAsia="Times New Roman" w:cstheme="minorHAnsi"/>
          <w:color w:val="505050"/>
          <w:spacing w:val="5"/>
          <w:sz w:val="24"/>
          <w:szCs w:val="24"/>
          <w:lang w:eastAsia="en-GB"/>
        </w:rPr>
        <w:t xml:space="preserve"> April 20</w:t>
      </w:r>
      <w:r w:rsidR="001A63B6">
        <w:rPr>
          <w:rFonts w:eastAsia="Times New Roman" w:cstheme="minorHAnsi"/>
          <w:color w:val="505050"/>
          <w:spacing w:val="5"/>
          <w:sz w:val="24"/>
          <w:szCs w:val="24"/>
          <w:lang w:eastAsia="en-GB"/>
        </w:rPr>
        <w:t>2</w:t>
      </w:r>
      <w:r w:rsidR="005D1AD6">
        <w:rPr>
          <w:rFonts w:eastAsia="Times New Roman" w:cstheme="minorHAnsi"/>
          <w:color w:val="505050"/>
          <w:spacing w:val="5"/>
          <w:sz w:val="24"/>
          <w:szCs w:val="24"/>
          <w:lang w:eastAsia="en-GB"/>
        </w:rPr>
        <w:t>1</w:t>
      </w:r>
    </w:p>
    <w:p w14:paraId="4D921A78" w14:textId="77777777" w:rsidR="00637321" w:rsidRPr="00637321" w:rsidRDefault="00637321" w:rsidP="00EC10EA">
      <w:pPr>
        <w:rPr>
          <w:rFonts w:cstheme="minorHAnsi"/>
          <w:sz w:val="24"/>
          <w:szCs w:val="24"/>
        </w:rPr>
      </w:pPr>
    </w:p>
    <w:p w14:paraId="790E513F" w14:textId="77777777" w:rsidR="00637321" w:rsidRPr="00637321" w:rsidRDefault="00637321" w:rsidP="00EC10EA">
      <w:pPr>
        <w:rPr>
          <w:rFonts w:cstheme="minorHAnsi"/>
          <w:sz w:val="24"/>
          <w:szCs w:val="24"/>
        </w:rPr>
      </w:pPr>
    </w:p>
    <w:p w14:paraId="354FCE0E" w14:textId="77777777" w:rsidR="00637321" w:rsidRPr="00EC10EA" w:rsidRDefault="00637321" w:rsidP="00EC10EA">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470"/>
      </w:tblGrid>
      <w:tr w:rsidR="00637321" w:rsidRPr="00637321" w14:paraId="1FD04334" w14:textId="77777777" w:rsidTr="00637321">
        <w:tc>
          <w:tcPr>
            <w:tcW w:w="4470" w:type="dxa"/>
            <w:vAlign w:val="center"/>
            <w:hideMark/>
          </w:tcPr>
          <w:p w14:paraId="51A0C5C7" w14:textId="77777777" w:rsidR="00637321" w:rsidRPr="00637321" w:rsidRDefault="00637321" w:rsidP="00637321">
            <w:pPr>
              <w:spacing w:after="0" w:line="240" w:lineRule="auto"/>
              <w:rPr>
                <w:rFonts w:ascii="&amp;quot" w:eastAsia="Times New Roman" w:hAnsi="&amp;quot" w:cs="Times New Roman"/>
                <w:color w:val="4A4B64"/>
                <w:sz w:val="18"/>
                <w:szCs w:val="18"/>
                <w:lang w:eastAsia="en-GB"/>
              </w:rPr>
            </w:pPr>
          </w:p>
        </w:tc>
      </w:tr>
      <w:tr w:rsidR="00637321" w:rsidRPr="00637321" w14:paraId="381C27B7" w14:textId="77777777" w:rsidTr="00637321">
        <w:tc>
          <w:tcPr>
            <w:tcW w:w="4470" w:type="dxa"/>
            <w:vAlign w:val="center"/>
            <w:hideMark/>
          </w:tcPr>
          <w:p w14:paraId="13AEE88D" w14:textId="77777777" w:rsidR="00637321" w:rsidRPr="00637321" w:rsidRDefault="00637321" w:rsidP="00637321">
            <w:pPr>
              <w:spacing w:after="0" w:line="240" w:lineRule="auto"/>
              <w:rPr>
                <w:rFonts w:ascii="&amp;quot" w:eastAsia="Times New Roman" w:hAnsi="&amp;quot" w:cs="Times New Roman"/>
                <w:color w:val="4A4B64"/>
                <w:sz w:val="18"/>
                <w:szCs w:val="18"/>
                <w:lang w:eastAsia="en-GB"/>
              </w:rPr>
            </w:pPr>
          </w:p>
        </w:tc>
      </w:tr>
      <w:tr w:rsidR="00637321" w:rsidRPr="00637321" w14:paraId="60130A58" w14:textId="77777777" w:rsidTr="00637321">
        <w:tc>
          <w:tcPr>
            <w:tcW w:w="4470" w:type="dxa"/>
            <w:vAlign w:val="center"/>
            <w:hideMark/>
          </w:tcPr>
          <w:p w14:paraId="2B2C5DB1" w14:textId="77777777" w:rsidR="00637321" w:rsidRPr="00637321" w:rsidRDefault="00637321" w:rsidP="00637321">
            <w:pPr>
              <w:spacing w:after="0" w:line="240" w:lineRule="auto"/>
              <w:rPr>
                <w:rFonts w:ascii="&amp;quot" w:eastAsia="Times New Roman" w:hAnsi="&amp;quot" w:cs="Times New Roman"/>
                <w:color w:val="4A4B64"/>
                <w:sz w:val="18"/>
                <w:szCs w:val="18"/>
                <w:lang w:eastAsia="en-GB"/>
              </w:rPr>
            </w:pPr>
          </w:p>
        </w:tc>
      </w:tr>
      <w:tr w:rsidR="00637321" w:rsidRPr="00637321" w14:paraId="450F6D14" w14:textId="77777777" w:rsidTr="00637321">
        <w:tc>
          <w:tcPr>
            <w:tcW w:w="4470" w:type="dxa"/>
            <w:vAlign w:val="center"/>
            <w:hideMark/>
          </w:tcPr>
          <w:p w14:paraId="5580B0E7" w14:textId="77777777" w:rsidR="00637321" w:rsidRPr="00637321" w:rsidRDefault="00637321" w:rsidP="00637321">
            <w:pPr>
              <w:spacing w:after="0" w:line="240" w:lineRule="auto"/>
              <w:rPr>
                <w:rFonts w:ascii="&amp;quot" w:eastAsia="Times New Roman" w:hAnsi="&amp;quot" w:cs="Times New Roman"/>
                <w:color w:val="4A4B64"/>
                <w:sz w:val="18"/>
                <w:szCs w:val="18"/>
                <w:lang w:eastAsia="en-GB"/>
              </w:rPr>
            </w:pPr>
          </w:p>
        </w:tc>
      </w:tr>
    </w:tbl>
    <w:p w14:paraId="7BD865F7" w14:textId="77777777" w:rsidR="00EC10EA" w:rsidRPr="00EC10EA" w:rsidRDefault="00EC10EA" w:rsidP="00EC10EA">
      <w:pPr>
        <w:jc w:val="center"/>
        <w:rPr>
          <w:b/>
          <w:sz w:val="24"/>
          <w:szCs w:val="24"/>
          <w:u w:val="single"/>
        </w:rPr>
      </w:pPr>
    </w:p>
    <w:p w14:paraId="37CC9C6F" w14:textId="77777777" w:rsidR="00EC10EA" w:rsidRPr="00EC10EA" w:rsidRDefault="00EC10EA" w:rsidP="00EC10EA">
      <w:pPr>
        <w:jc w:val="center"/>
        <w:rPr>
          <w:b/>
          <w:sz w:val="24"/>
          <w:szCs w:val="24"/>
          <w:u w:val="single"/>
        </w:rPr>
      </w:pPr>
      <w:r w:rsidRPr="00EC10EA">
        <w:rPr>
          <w:b/>
          <w:sz w:val="24"/>
          <w:szCs w:val="24"/>
          <w:u w:val="single"/>
        </w:rPr>
        <w:t xml:space="preserve"> </w:t>
      </w:r>
    </w:p>
    <w:p w14:paraId="3F9A10C9" w14:textId="77777777" w:rsidR="00EC10EA" w:rsidRPr="00EC10EA" w:rsidRDefault="00EC10EA" w:rsidP="00EC10EA">
      <w:pPr>
        <w:jc w:val="center"/>
        <w:rPr>
          <w:b/>
          <w:sz w:val="24"/>
          <w:szCs w:val="24"/>
          <w:u w:val="single"/>
        </w:rPr>
      </w:pPr>
    </w:p>
    <w:p w14:paraId="1482CD48" w14:textId="77777777" w:rsidR="00EC10EA" w:rsidRDefault="00EC10EA" w:rsidP="00EC10EA">
      <w:pPr>
        <w:jc w:val="center"/>
        <w:rPr>
          <w:b/>
          <w:sz w:val="24"/>
          <w:szCs w:val="24"/>
        </w:rPr>
      </w:pPr>
    </w:p>
    <w:p w14:paraId="790A09F6" w14:textId="77777777" w:rsidR="00EC10EA" w:rsidRPr="00EC10EA" w:rsidRDefault="00EC10EA" w:rsidP="00EC10EA">
      <w:pPr>
        <w:jc w:val="center"/>
        <w:rPr>
          <w:b/>
          <w:sz w:val="24"/>
          <w:szCs w:val="24"/>
        </w:rPr>
      </w:pPr>
    </w:p>
    <w:sectPr w:rsidR="00EC10EA" w:rsidRPr="00EC10EA" w:rsidSect="00EC10EA">
      <w:pgSz w:w="11900"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86C2A"/>
    <w:multiLevelType w:val="hybridMultilevel"/>
    <w:tmpl w:val="BED2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0EA"/>
    <w:rsid w:val="00055E6F"/>
    <w:rsid w:val="001A63B6"/>
    <w:rsid w:val="0027163D"/>
    <w:rsid w:val="002967F5"/>
    <w:rsid w:val="005D1AD6"/>
    <w:rsid w:val="00637321"/>
    <w:rsid w:val="007847E8"/>
    <w:rsid w:val="00CB145D"/>
    <w:rsid w:val="00EC10EA"/>
    <w:rsid w:val="00FF5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E427"/>
  <w15:chartTrackingRefBased/>
  <w15:docId w15:val="{46B0384B-BFC4-4F53-B7D2-EF3C39FC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90366">
      <w:bodyDiv w:val="1"/>
      <w:marLeft w:val="0"/>
      <w:marRight w:val="0"/>
      <w:marTop w:val="0"/>
      <w:marBottom w:val="0"/>
      <w:divBdr>
        <w:top w:val="none" w:sz="0" w:space="0" w:color="auto"/>
        <w:left w:val="none" w:sz="0" w:space="0" w:color="auto"/>
        <w:bottom w:val="none" w:sz="0" w:space="0" w:color="auto"/>
        <w:right w:val="none" w:sz="0" w:space="0" w:color="auto"/>
      </w:divBdr>
    </w:div>
    <w:div w:id="15897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Thomson</dc:creator>
  <cp:keywords/>
  <dc:description/>
  <cp:lastModifiedBy>Allyson Mackie</cp:lastModifiedBy>
  <cp:revision>2</cp:revision>
  <dcterms:created xsi:type="dcterms:W3CDTF">2022-03-15T14:32:00Z</dcterms:created>
  <dcterms:modified xsi:type="dcterms:W3CDTF">2022-03-15T14:32:00Z</dcterms:modified>
</cp:coreProperties>
</file>